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ED72" w14:textId="77777777" w:rsidR="00F52516" w:rsidRDefault="00F52516" w:rsidP="00F5251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16EDBB" wp14:editId="0C366C6E">
            <wp:simplePos x="0" y="0"/>
            <wp:positionH relativeFrom="column">
              <wp:posOffset>-601980</wp:posOffset>
            </wp:positionH>
            <wp:positionV relativeFrom="paragraph">
              <wp:posOffset>-693420</wp:posOffset>
            </wp:positionV>
            <wp:extent cx="1739900" cy="647700"/>
            <wp:effectExtent l="0" t="0" r="0" b="0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57" cy="6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31EB3" w14:textId="77777777" w:rsidR="000D3619" w:rsidRDefault="000D3619" w:rsidP="00F52516">
      <w:pPr>
        <w:rPr>
          <w:rFonts w:ascii="Verdana" w:hAnsi="Verdana"/>
          <w:b/>
          <w:bCs/>
          <w:sz w:val="24"/>
          <w:szCs w:val="24"/>
        </w:rPr>
      </w:pPr>
    </w:p>
    <w:p w14:paraId="066A3733" w14:textId="77777777" w:rsidR="000D3619" w:rsidRDefault="000D3619" w:rsidP="00F52516">
      <w:pPr>
        <w:rPr>
          <w:rFonts w:ascii="Verdana" w:hAnsi="Verdana"/>
          <w:b/>
          <w:bCs/>
          <w:sz w:val="24"/>
          <w:szCs w:val="24"/>
        </w:rPr>
      </w:pPr>
    </w:p>
    <w:p w14:paraId="22C3B261" w14:textId="39A75267" w:rsidR="00B45D23" w:rsidRPr="00B45D23" w:rsidRDefault="00B45D23" w:rsidP="00F52516">
      <w:pPr>
        <w:rPr>
          <w:rFonts w:ascii="Verdana" w:hAnsi="Verdana"/>
          <w:b/>
          <w:bCs/>
          <w:sz w:val="20"/>
          <w:szCs w:val="20"/>
        </w:rPr>
      </w:pPr>
      <w:r w:rsidRPr="00B45D23">
        <w:rPr>
          <w:rFonts w:ascii="Verdana" w:hAnsi="Verdana"/>
          <w:b/>
          <w:bCs/>
          <w:sz w:val="24"/>
          <w:szCs w:val="24"/>
        </w:rPr>
        <w:t>Lodge Hill 3 Hour Guided Walk Risk Assessment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0"/>
          <w:szCs w:val="20"/>
        </w:rPr>
        <w:t>Dated:  May 202</w:t>
      </w:r>
      <w:r w:rsidR="00B7077D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   Revision Date:  May 202</w:t>
      </w:r>
      <w:r w:rsidR="00B7077D">
        <w:rPr>
          <w:rFonts w:ascii="Verdana" w:hAnsi="Verdana"/>
          <w:b/>
          <w:bCs/>
          <w:sz w:val="20"/>
          <w:szCs w:val="20"/>
        </w:rPr>
        <w:t>3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1276"/>
        <w:gridCol w:w="6237"/>
        <w:gridCol w:w="1417"/>
      </w:tblGrid>
      <w:tr w:rsidR="00F52516" w14:paraId="1516ED87" w14:textId="77777777" w:rsidTr="00B45D23">
        <w:tc>
          <w:tcPr>
            <w:tcW w:w="3085" w:type="dxa"/>
            <w:tcBorders>
              <w:right w:val="single" w:sz="4" w:space="0" w:color="auto"/>
            </w:tcBorders>
            <w:shd w:val="clear" w:color="auto" w:fill="92D050"/>
          </w:tcPr>
          <w:p w14:paraId="1516ED82" w14:textId="77777777" w:rsidR="00F52516" w:rsidRPr="00B45D23" w:rsidRDefault="00F52516" w:rsidP="00755E8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5D23">
              <w:rPr>
                <w:rFonts w:ascii="Verdana" w:hAnsi="Verdana"/>
                <w:b/>
                <w:bCs/>
                <w:sz w:val="20"/>
                <w:szCs w:val="20"/>
              </w:rPr>
              <w:t>Hazards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92D050"/>
          </w:tcPr>
          <w:p w14:paraId="1516ED83" w14:textId="6D152AE8" w:rsidR="00F52516" w:rsidRPr="00B45D23" w:rsidRDefault="00B45D23" w:rsidP="00755E8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5D23">
              <w:rPr>
                <w:rFonts w:ascii="Verdana" w:hAnsi="Verdana"/>
                <w:b/>
                <w:bCs/>
                <w:sz w:val="20"/>
                <w:szCs w:val="20"/>
              </w:rPr>
              <w:t>Who</w:t>
            </w:r>
            <w:r w:rsidR="00F52516" w:rsidRPr="00B45D2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92D050"/>
          </w:tcPr>
          <w:p w14:paraId="1516ED84" w14:textId="77777777" w:rsidR="00F52516" w:rsidRPr="00B45D23" w:rsidRDefault="00F52516" w:rsidP="00755E8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5D23">
              <w:rPr>
                <w:rFonts w:ascii="Verdana" w:hAnsi="Verdana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6237" w:type="dxa"/>
            <w:shd w:val="clear" w:color="auto" w:fill="92D050"/>
          </w:tcPr>
          <w:p w14:paraId="1516ED85" w14:textId="601BED4E" w:rsidR="00F52516" w:rsidRPr="00B45D23" w:rsidRDefault="00F52516" w:rsidP="00755E8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5D23">
              <w:rPr>
                <w:rFonts w:ascii="Verdana" w:hAnsi="Verdana"/>
                <w:b/>
                <w:bCs/>
                <w:sz w:val="20"/>
                <w:szCs w:val="20"/>
              </w:rPr>
              <w:t xml:space="preserve">Controls </w:t>
            </w:r>
          </w:p>
        </w:tc>
        <w:tc>
          <w:tcPr>
            <w:tcW w:w="1417" w:type="dxa"/>
            <w:shd w:val="clear" w:color="auto" w:fill="92D050"/>
          </w:tcPr>
          <w:p w14:paraId="1516ED86" w14:textId="77777777" w:rsidR="00F52516" w:rsidRPr="00B45D23" w:rsidRDefault="00F52516" w:rsidP="00755E8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B45D23">
              <w:rPr>
                <w:rFonts w:ascii="Verdana" w:hAnsi="Verdana"/>
                <w:b/>
                <w:sz w:val="20"/>
                <w:szCs w:val="20"/>
              </w:rPr>
              <w:t>Risk after control</w:t>
            </w:r>
          </w:p>
        </w:tc>
      </w:tr>
      <w:tr w:rsidR="00F52516" w:rsidRPr="00B45D23" w14:paraId="1516ED94" w14:textId="77777777" w:rsidTr="00B45D23">
        <w:trPr>
          <w:trHeight w:val="876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1516ED88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Walking on uneven terrain</w:t>
            </w:r>
          </w:p>
          <w:p w14:paraId="1516ED89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1D5B590" w14:textId="77777777" w:rsidR="00F52516" w:rsidRDefault="00B45D23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Participants/</w:t>
            </w:r>
          </w:p>
          <w:p w14:paraId="1516ED8C" w14:textId="0C91118C" w:rsidR="00B45D23" w:rsidRPr="00B45D23" w:rsidRDefault="00B45D23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Instructors</w:t>
            </w:r>
          </w:p>
        </w:tc>
        <w:tc>
          <w:tcPr>
            <w:tcW w:w="1276" w:type="dxa"/>
            <w:shd w:val="clear" w:color="auto" w:fill="auto"/>
          </w:tcPr>
          <w:p w14:paraId="1516ED8D" w14:textId="77777777" w:rsidR="00F52516" w:rsidRPr="00B45D23" w:rsidRDefault="00F52516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237" w:type="dxa"/>
            <w:shd w:val="clear" w:color="auto" w:fill="auto"/>
          </w:tcPr>
          <w:p w14:paraId="1516ED8E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Well planned routes</w:t>
            </w:r>
          </w:p>
          <w:p w14:paraId="1516ED8F" w14:textId="5D202EB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Areas surveyed 3 monthly</w:t>
            </w:r>
            <w:r w:rsidR="00B45D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5D23">
              <w:rPr>
                <w:rFonts w:ascii="Verdana" w:hAnsi="Verdana"/>
                <w:sz w:val="20"/>
                <w:szCs w:val="20"/>
              </w:rPr>
              <w:t>(Walked)</w:t>
            </w:r>
          </w:p>
          <w:p w14:paraId="1516ED90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Briefing by centre staff</w:t>
            </w:r>
          </w:p>
          <w:p w14:paraId="1516ED91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Appropriate clothing/shoes luminous vests/ maps/emergency plan/Communication system in place.</w:t>
            </w:r>
          </w:p>
          <w:p w14:paraId="1516ED92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Briefing on food &amp;drinks needed as per season</w:t>
            </w:r>
          </w:p>
        </w:tc>
        <w:tc>
          <w:tcPr>
            <w:tcW w:w="1417" w:type="dxa"/>
            <w:shd w:val="clear" w:color="auto" w:fill="auto"/>
          </w:tcPr>
          <w:p w14:paraId="1516ED93" w14:textId="77777777" w:rsidR="00F52516" w:rsidRPr="00B45D23" w:rsidRDefault="00F52516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F52516" w:rsidRPr="00B45D23" w14:paraId="1516EDAC" w14:textId="77777777" w:rsidTr="00B45D23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1516ED95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Becoming separated from group, lost, inclement weather</w:t>
            </w:r>
          </w:p>
          <w:p w14:paraId="1516ED96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516ED98" w14:textId="4B0322D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1516ED9A" w14:textId="6A8104CD" w:rsidR="00F52516" w:rsidRPr="00B45D23" w:rsidRDefault="00691512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 xml:space="preserve">Group behaviour </w:t>
            </w:r>
          </w:p>
          <w:p w14:paraId="1516ED9B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69B6A8C" w14:textId="77777777" w:rsidR="00F52516" w:rsidRDefault="00B45D23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Participants</w:t>
            </w:r>
          </w:p>
          <w:p w14:paraId="502077F7" w14:textId="77777777" w:rsidR="00B45D23" w:rsidRDefault="00B45D23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DD0C5EE" w14:textId="77777777" w:rsidR="00B45D23" w:rsidRDefault="00B45D23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005DF5" w14:textId="77777777" w:rsidR="00B45D23" w:rsidRDefault="00B45D23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1C97B5" w14:textId="77777777" w:rsidR="00B45D23" w:rsidRDefault="00B45D23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516EDA1" w14:textId="614D6127" w:rsidR="00B45D23" w:rsidRPr="00B45D23" w:rsidRDefault="00B45D23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Instructors</w:t>
            </w:r>
          </w:p>
        </w:tc>
        <w:tc>
          <w:tcPr>
            <w:tcW w:w="1276" w:type="dxa"/>
            <w:shd w:val="clear" w:color="auto" w:fill="auto"/>
          </w:tcPr>
          <w:p w14:paraId="1516EDA2" w14:textId="77777777" w:rsidR="00F52516" w:rsidRPr="00B45D23" w:rsidRDefault="00F52516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High</w:t>
            </w:r>
          </w:p>
        </w:tc>
        <w:tc>
          <w:tcPr>
            <w:tcW w:w="6237" w:type="dxa"/>
            <w:shd w:val="clear" w:color="auto" w:fill="auto"/>
          </w:tcPr>
          <w:p w14:paraId="1516EDA3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Emergency procedures included in briefing session.</w:t>
            </w:r>
          </w:p>
          <w:p w14:paraId="1516EDA4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Emergency drills.</w:t>
            </w:r>
          </w:p>
          <w:p w14:paraId="1516EDA5" w14:textId="77E3BB61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Controls on training of client groups</w:t>
            </w:r>
            <w:r w:rsidR="00B45D23">
              <w:rPr>
                <w:rFonts w:ascii="Verdana" w:hAnsi="Verdana"/>
                <w:sz w:val="20"/>
                <w:szCs w:val="20"/>
              </w:rPr>
              <w:t>.</w:t>
            </w:r>
          </w:p>
          <w:p w14:paraId="1516EDA6" w14:textId="12D10619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First aid including thermal foil sheets</w:t>
            </w:r>
            <w:r w:rsidR="00B45D23">
              <w:rPr>
                <w:rFonts w:ascii="Verdana" w:hAnsi="Verdana"/>
                <w:sz w:val="20"/>
                <w:szCs w:val="20"/>
              </w:rPr>
              <w:t>.</w:t>
            </w:r>
          </w:p>
          <w:p w14:paraId="1516EDA7" w14:textId="76987152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Weather forecast obtained</w:t>
            </w:r>
            <w:r w:rsidR="00B45D23">
              <w:rPr>
                <w:rFonts w:ascii="Verdana" w:hAnsi="Verdana"/>
                <w:sz w:val="20"/>
                <w:szCs w:val="20"/>
              </w:rPr>
              <w:t>.</w:t>
            </w:r>
            <w:r w:rsidRPr="00B45D2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516EDA9" w14:textId="721A8884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Staffing Ratio 1:</w:t>
            </w:r>
            <w:r w:rsidR="00691512" w:rsidRPr="00B45D23">
              <w:rPr>
                <w:rFonts w:ascii="Verdana" w:hAnsi="Verdana"/>
                <w:sz w:val="20"/>
                <w:szCs w:val="20"/>
              </w:rPr>
              <w:t>1</w:t>
            </w:r>
            <w:r w:rsidR="00DB43ED" w:rsidRPr="00B45D23">
              <w:rPr>
                <w:rFonts w:ascii="Verdana" w:hAnsi="Verdana"/>
                <w:sz w:val="20"/>
                <w:szCs w:val="20"/>
              </w:rPr>
              <w:t>2</w:t>
            </w:r>
            <w:r w:rsidRPr="00B45D23">
              <w:rPr>
                <w:rFonts w:ascii="Verdana" w:hAnsi="Verdana"/>
                <w:sz w:val="20"/>
                <w:szCs w:val="20"/>
              </w:rPr>
              <w:t xml:space="preserve"> plus 1 Adult (18+) responsible for behaviour and Pastoral care per 12 students.</w:t>
            </w:r>
          </w:p>
          <w:p w14:paraId="1516EDAA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16EDAB" w14:textId="77777777" w:rsidR="00F52516" w:rsidRPr="00B45D23" w:rsidRDefault="00F52516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F52516" w:rsidRPr="00B45D23" w14:paraId="1516EDB2" w14:textId="77777777" w:rsidTr="00B45D23">
        <w:trPr>
          <w:trHeight w:val="3673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1516EDAD" w14:textId="2EF849EC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lastRenderedPageBreak/>
              <w:t>Road crossings</w:t>
            </w:r>
            <w:r w:rsidR="00701EB4">
              <w:rPr>
                <w:rFonts w:ascii="Verdana" w:hAnsi="Verdana"/>
                <w:sz w:val="20"/>
                <w:szCs w:val="20"/>
              </w:rPr>
              <w:t>/pedestrian train crossings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0AEA8F3" w14:textId="77777777" w:rsidR="00B45D23" w:rsidRDefault="00B45D23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Participants/</w:t>
            </w:r>
          </w:p>
          <w:p w14:paraId="1516EDAE" w14:textId="27945ACE" w:rsidR="00F52516" w:rsidRPr="00B45D23" w:rsidRDefault="00B45D23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Instructors</w:t>
            </w:r>
          </w:p>
        </w:tc>
        <w:tc>
          <w:tcPr>
            <w:tcW w:w="1276" w:type="dxa"/>
            <w:shd w:val="clear" w:color="auto" w:fill="auto"/>
          </w:tcPr>
          <w:p w14:paraId="1516EDAF" w14:textId="77777777" w:rsidR="00F52516" w:rsidRPr="00B45D23" w:rsidRDefault="00F52516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Medium</w:t>
            </w:r>
          </w:p>
        </w:tc>
        <w:tc>
          <w:tcPr>
            <w:tcW w:w="6237" w:type="dxa"/>
            <w:shd w:val="clear" w:color="auto" w:fill="auto"/>
          </w:tcPr>
          <w:p w14:paraId="29A43F0F" w14:textId="77777777" w:rsid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 xml:space="preserve">Group and visiting staff briefing about Dangers and crossing procedures. </w:t>
            </w:r>
          </w:p>
          <w:p w14:paraId="227A97CA" w14:textId="77777777" w:rsid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 xml:space="preserve">All to wear Hi Viz Jackets. </w:t>
            </w:r>
          </w:p>
          <w:p w14:paraId="0FCBF731" w14:textId="0DC73599" w:rsid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 xml:space="preserve">Crossing access and exit controlled by staff team, cross will be handled according to </w:t>
            </w:r>
            <w:r w:rsidR="00701EB4">
              <w:rPr>
                <w:rFonts w:ascii="Verdana" w:hAnsi="Verdana"/>
                <w:sz w:val="20"/>
                <w:szCs w:val="20"/>
              </w:rPr>
              <w:t>crossing</w:t>
            </w:r>
            <w:r w:rsidRPr="00B45D23">
              <w:rPr>
                <w:rFonts w:ascii="Verdana" w:hAnsi="Verdana"/>
                <w:sz w:val="20"/>
                <w:szCs w:val="20"/>
              </w:rPr>
              <w:t xml:space="preserve"> conditions, sightline, access/ egress from footpaths and the specific </w:t>
            </w:r>
            <w:r w:rsidR="00B45D23">
              <w:rPr>
                <w:rFonts w:ascii="Verdana" w:hAnsi="Verdana"/>
                <w:sz w:val="20"/>
                <w:szCs w:val="20"/>
              </w:rPr>
              <w:t>n</w:t>
            </w:r>
            <w:r w:rsidRPr="00B45D23">
              <w:rPr>
                <w:rFonts w:ascii="Verdana" w:hAnsi="Verdana"/>
                <w:sz w:val="20"/>
                <w:szCs w:val="20"/>
              </w:rPr>
              <w:t xml:space="preserve">eeds of the group. Dedicated Safe waiting zone allocated for groups waiting to cross and after crossing away from actual crossing to ensure </w:t>
            </w:r>
            <w:r w:rsidR="00B45D23">
              <w:rPr>
                <w:rFonts w:ascii="Verdana" w:hAnsi="Verdana"/>
                <w:sz w:val="20"/>
                <w:szCs w:val="20"/>
              </w:rPr>
              <w:t>n</w:t>
            </w:r>
            <w:r w:rsidRPr="00B45D23">
              <w:rPr>
                <w:rFonts w:ascii="Verdana" w:hAnsi="Verdana"/>
                <w:sz w:val="20"/>
                <w:szCs w:val="20"/>
              </w:rPr>
              <w:t xml:space="preserve">o Congestion on crossing zone. </w:t>
            </w:r>
          </w:p>
          <w:p w14:paraId="33D9FCED" w14:textId="77777777" w:rsid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 xml:space="preserve">At known danger points, the instructors will migrate to the front to arrive first and put controls in place. </w:t>
            </w:r>
          </w:p>
          <w:p w14:paraId="1516EDB0" w14:textId="744B741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Staff controlling crossing from vantage point allowing best view of danger zone and approaching vehicles.</w:t>
            </w:r>
          </w:p>
        </w:tc>
        <w:tc>
          <w:tcPr>
            <w:tcW w:w="1417" w:type="dxa"/>
            <w:shd w:val="clear" w:color="auto" w:fill="auto"/>
          </w:tcPr>
          <w:p w14:paraId="1516EDB1" w14:textId="77777777" w:rsidR="00F52516" w:rsidRPr="00B45D23" w:rsidRDefault="00F52516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  <w:tr w:rsidR="00F52516" w:rsidRPr="00B45D23" w14:paraId="1516EDB9" w14:textId="77777777" w:rsidTr="00B45D23">
        <w:trPr>
          <w:trHeight w:val="3251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14:paraId="1516EDB3" w14:textId="77777777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Group Late Back Procedure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516EDB4" w14:textId="6F8D779D" w:rsidR="00F52516" w:rsidRPr="00B45D23" w:rsidRDefault="00B45D23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Instructors</w:t>
            </w:r>
          </w:p>
        </w:tc>
        <w:tc>
          <w:tcPr>
            <w:tcW w:w="1276" w:type="dxa"/>
            <w:shd w:val="clear" w:color="auto" w:fill="auto"/>
          </w:tcPr>
          <w:p w14:paraId="1516EDB5" w14:textId="77777777" w:rsidR="00F52516" w:rsidRPr="00B45D23" w:rsidRDefault="00F52516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Low</w:t>
            </w:r>
          </w:p>
        </w:tc>
        <w:tc>
          <w:tcPr>
            <w:tcW w:w="6237" w:type="dxa"/>
            <w:shd w:val="clear" w:color="auto" w:fill="auto"/>
          </w:tcPr>
          <w:p w14:paraId="2F1D665C" w14:textId="0B7DBC52" w:rsidR="00975BB6" w:rsidRPr="00B45D23" w:rsidRDefault="00975BB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 xml:space="preserve">Throughout walk the Lead Instructor will be able to contact the Centre Office/Activities Manager by VHF/Mobile.  Centre Contact notes time and check points on supplied </w:t>
            </w:r>
            <w:r w:rsidR="000D3619">
              <w:rPr>
                <w:rFonts w:ascii="Verdana" w:hAnsi="Verdana"/>
                <w:sz w:val="20"/>
                <w:szCs w:val="20"/>
              </w:rPr>
              <w:t>m</w:t>
            </w:r>
            <w:r w:rsidRPr="00B45D23">
              <w:rPr>
                <w:rFonts w:ascii="Verdana" w:hAnsi="Verdana"/>
                <w:sz w:val="20"/>
                <w:szCs w:val="20"/>
              </w:rPr>
              <w:t>ap left with designated person at centre office.</w:t>
            </w:r>
          </w:p>
          <w:p w14:paraId="48514F73" w14:textId="77777777" w:rsidR="000D3619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 xml:space="preserve">If NO ARRIVAL, later than ETA, contact group via VHF/Mobile. </w:t>
            </w:r>
          </w:p>
          <w:p w14:paraId="1516EDB7" w14:textId="71AE5720" w:rsidR="00F52516" w:rsidRPr="00B45D23" w:rsidRDefault="00F52516" w:rsidP="00B45D2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If no Contact ETA +1hour then Instructors with VHF unit and Mobile to reverse route to Last recorded Check point.  Still missing after ETA +3 hours then contact Emergency services.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516EDB8" w14:textId="77777777" w:rsidR="00F52516" w:rsidRPr="00B45D23" w:rsidRDefault="00F52516" w:rsidP="00B45D23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45D23">
              <w:rPr>
                <w:rFonts w:ascii="Verdana" w:hAnsi="Verdana"/>
                <w:sz w:val="20"/>
                <w:szCs w:val="20"/>
              </w:rPr>
              <w:t>Low</w:t>
            </w:r>
          </w:p>
        </w:tc>
      </w:tr>
    </w:tbl>
    <w:p w14:paraId="1516EDBA" w14:textId="77777777" w:rsidR="00D52CFF" w:rsidRPr="00B45D23" w:rsidRDefault="00D52CFF" w:rsidP="00B45D23">
      <w:pPr>
        <w:spacing w:after="0"/>
        <w:rPr>
          <w:rFonts w:ascii="Verdana" w:hAnsi="Verdana"/>
          <w:sz w:val="20"/>
          <w:szCs w:val="20"/>
        </w:rPr>
      </w:pPr>
    </w:p>
    <w:sectPr w:rsidR="00D52CFF" w:rsidRPr="00B45D23" w:rsidSect="004D28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D42C3"/>
    <w:multiLevelType w:val="hybridMultilevel"/>
    <w:tmpl w:val="D4CC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1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897"/>
    <w:rsid w:val="000D3619"/>
    <w:rsid w:val="004D2897"/>
    <w:rsid w:val="00522CD7"/>
    <w:rsid w:val="00691512"/>
    <w:rsid w:val="00701EB4"/>
    <w:rsid w:val="00847D85"/>
    <w:rsid w:val="00922859"/>
    <w:rsid w:val="00975BB6"/>
    <w:rsid w:val="00B02BB4"/>
    <w:rsid w:val="00B45D23"/>
    <w:rsid w:val="00B7077D"/>
    <w:rsid w:val="00C5413C"/>
    <w:rsid w:val="00D52CFF"/>
    <w:rsid w:val="00DB43ED"/>
    <w:rsid w:val="00ED46F9"/>
    <w:rsid w:val="00EE1B5D"/>
    <w:rsid w:val="00F15D9B"/>
    <w:rsid w:val="00F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ED72"/>
  <w15:docId w15:val="{43000263-8478-4AA5-BECB-324E7970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5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c56e0-5f36-425b-ad2e-d10767bea0b8">
      <Terms xmlns="http://schemas.microsoft.com/office/infopath/2007/PartnerControls"/>
    </lcf76f155ced4ddcb4097134ff3c332f>
    <TaxCatchAll xmlns="73c75d25-80fd-492d-ab41-641204ce5b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9CF625EEE9A4B98EA7084D2199DAF" ma:contentTypeVersion="16" ma:contentTypeDescription="Create a new document." ma:contentTypeScope="" ma:versionID="0d32858e4031aceccf847b949b88c6b1">
  <xsd:schema xmlns:xsd="http://www.w3.org/2001/XMLSchema" xmlns:xs="http://www.w3.org/2001/XMLSchema" xmlns:p="http://schemas.microsoft.com/office/2006/metadata/properties" xmlns:ns2="cd7c56e0-5f36-425b-ad2e-d10767bea0b8" xmlns:ns3="73c75d25-80fd-492d-ab41-641204ce5b82" targetNamespace="http://schemas.microsoft.com/office/2006/metadata/properties" ma:root="true" ma:fieldsID="8be06299e9e7c18ff13649f935fbed12" ns2:_="" ns3:_="">
    <xsd:import namespace="cd7c56e0-5f36-425b-ad2e-d10767bea0b8"/>
    <xsd:import namespace="73c75d25-80fd-492d-ab41-641204ce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c56e0-5f36-425b-ad2e-d10767bea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854f0e-9354-4bba-a5d4-3613873ef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75d25-80fd-492d-ab41-641204ce5b8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3f0cf2-c63c-438d-b63a-ef724bd58bd4}" ma:internalName="TaxCatchAll" ma:showField="CatchAllData" ma:web="73c75d25-80fd-492d-ab41-641204ce5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09A1D-BD72-40FA-81A7-D911AB6C2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1F339-6FC9-48AD-B4E7-337333192D90}">
  <ds:schemaRefs>
    <ds:schemaRef ds:uri="http://schemas.microsoft.com/office/2006/metadata/properties"/>
    <ds:schemaRef ds:uri="http://schemas.microsoft.com/office/infopath/2007/PartnerControls"/>
    <ds:schemaRef ds:uri="cd7c56e0-5f36-425b-ad2e-d10767bea0b8"/>
    <ds:schemaRef ds:uri="73c75d25-80fd-492d-ab41-641204ce5b82"/>
  </ds:schemaRefs>
</ds:datastoreItem>
</file>

<file path=customXml/itemProps3.xml><?xml version="1.0" encoding="utf-8"?>
<ds:datastoreItem xmlns:ds="http://schemas.openxmlformats.org/officeDocument/2006/customXml" ds:itemID="{DFD402F0-3210-4D38-848A-7E607D736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c56e0-5f36-425b-ad2e-d10767bea0b8"/>
    <ds:schemaRef ds:uri="73c75d25-80fd-492d-ab41-641204ce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Instructors</dc:creator>
  <cp:lastModifiedBy>Activities | Lodge Hill Centre</cp:lastModifiedBy>
  <cp:revision>15</cp:revision>
  <dcterms:created xsi:type="dcterms:W3CDTF">2021-05-17T08:35:00Z</dcterms:created>
  <dcterms:modified xsi:type="dcterms:W3CDTF">2022-06-28T12:06:00Z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0x010100AFD9CF625EEE9A4B98EA7084D2199DAF</vt:lpwstr>
  </property>
  <property fmtid="{D5CDD505-2E9C-101B-9397-08002B2CF9AE}" pid="3" name="MediaServiceImageTags">
    <vt:lpwstr/>
  </property>
</Properties>
</file>